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22F8" w14:textId="4010CD73" w:rsidR="001A47CC" w:rsidRPr="004329AA" w:rsidRDefault="001A6A14" w:rsidP="00440C2D">
      <w:pPr>
        <w:spacing w:line="360" w:lineRule="auto"/>
        <w:ind w:left="4956" w:firstLine="708"/>
        <w:jc w:val="center"/>
        <w:rPr>
          <w:rFonts w:cstheme="minorHAnsi"/>
          <w:sz w:val="20"/>
          <w:szCs w:val="20"/>
        </w:rPr>
      </w:pPr>
      <w:r w:rsidRPr="004329AA">
        <w:rPr>
          <w:rFonts w:cstheme="minorHAnsi"/>
          <w:sz w:val="20"/>
          <w:szCs w:val="20"/>
        </w:rPr>
        <w:t xml:space="preserve">Załącznik nr 5 </w:t>
      </w:r>
      <w:r w:rsidR="004329AA" w:rsidRPr="004329AA">
        <w:rPr>
          <w:rFonts w:cstheme="minorHAnsi"/>
          <w:sz w:val="20"/>
          <w:szCs w:val="20"/>
        </w:rPr>
        <w:t xml:space="preserve">do Regulaminu praktyk. </w:t>
      </w:r>
    </w:p>
    <w:p w14:paraId="6162C944" w14:textId="0233A908" w:rsidR="001A47CC" w:rsidRPr="004329AA" w:rsidRDefault="004C398C" w:rsidP="001A7FC9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  <w:t>Szkolenie epidemiologiczne</w:t>
      </w:r>
      <w:r w:rsidR="00A518E4">
        <w:rPr>
          <w:rFonts w:cstheme="minorHAnsi"/>
          <w:b/>
          <w:bCs/>
          <w:sz w:val="20"/>
          <w:szCs w:val="20"/>
        </w:rPr>
        <w:br/>
        <w:t xml:space="preserve"> </w:t>
      </w:r>
      <w:r w:rsidR="00A518E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dla studentów odbywających praktyki w Zdrowie sp. s o. o</w:t>
      </w:r>
    </w:p>
    <w:p w14:paraId="67F8501B" w14:textId="357B117B" w:rsidR="006D0434" w:rsidRPr="00E73AA5" w:rsidRDefault="001A47CC" w:rsidP="00E73AA5">
      <w:pPr>
        <w:jc w:val="both"/>
        <w:rPr>
          <w:rFonts w:eastAsia="Times New Roman" w:cstheme="minorHAnsi"/>
          <w:color w:val="050609"/>
          <w:sz w:val="20"/>
          <w:szCs w:val="20"/>
          <w:lang w:eastAsia="pl-PL"/>
        </w:rPr>
      </w:pPr>
      <w:r w:rsidRPr="004329AA">
        <w:rPr>
          <w:rFonts w:cstheme="minorHAnsi"/>
          <w:b/>
          <w:sz w:val="20"/>
          <w:szCs w:val="20"/>
        </w:rPr>
        <w:t xml:space="preserve"> </w:t>
      </w:r>
      <w:r w:rsidR="00B51252" w:rsidRPr="004329AA">
        <w:rPr>
          <w:rFonts w:cstheme="minorHAnsi"/>
          <w:b/>
          <w:bCs/>
          <w:i/>
          <w:sz w:val="20"/>
          <w:szCs w:val="20"/>
        </w:rPr>
        <w:t>„</w:t>
      </w:r>
      <w:r w:rsidR="004A087F" w:rsidRPr="004329AA">
        <w:rPr>
          <w:rFonts w:cstheme="minorHAnsi"/>
          <w:b/>
          <w:bCs/>
          <w:color w:val="1B1B1B"/>
          <w:sz w:val="20"/>
          <w:szCs w:val="20"/>
        </w:rPr>
        <w:t xml:space="preserve">Zakażenie szpitalne </w:t>
      </w:r>
      <w:r w:rsidR="004A087F" w:rsidRPr="004329AA">
        <w:rPr>
          <w:rFonts w:cstheme="minorHAnsi"/>
          <w:color w:val="1B1B1B"/>
          <w:sz w:val="20"/>
          <w:szCs w:val="20"/>
        </w:rPr>
        <w:t xml:space="preserve">– </w:t>
      </w:r>
      <w:r w:rsidRPr="004329AA">
        <w:rPr>
          <w:rFonts w:cstheme="minorHAnsi"/>
          <w:color w:val="1B1B1B"/>
          <w:sz w:val="20"/>
          <w:szCs w:val="20"/>
        </w:rPr>
        <w:t xml:space="preserve">to </w:t>
      </w:r>
      <w:r w:rsidR="004A087F" w:rsidRPr="004329AA">
        <w:rPr>
          <w:rFonts w:cstheme="minorHAnsi"/>
          <w:color w:val="1B1B1B"/>
          <w:sz w:val="20"/>
          <w:szCs w:val="20"/>
        </w:rPr>
        <w:t>zakażenie, które wystąpiło w związku z udzieleniem świadczeń</w:t>
      </w:r>
      <w:r w:rsidRPr="004329AA">
        <w:rPr>
          <w:rFonts w:cstheme="minorHAnsi"/>
          <w:color w:val="1B1B1B"/>
          <w:sz w:val="20"/>
          <w:szCs w:val="20"/>
        </w:rPr>
        <w:t xml:space="preserve"> </w:t>
      </w:r>
      <w:r w:rsidR="004A087F" w:rsidRPr="004329AA">
        <w:rPr>
          <w:rFonts w:cstheme="minorHAnsi"/>
          <w:color w:val="1B1B1B"/>
          <w:sz w:val="20"/>
          <w:szCs w:val="20"/>
        </w:rPr>
        <w:t xml:space="preserve">zdrowotnych, w </w:t>
      </w:r>
      <w:r w:rsidR="008C72AF" w:rsidRPr="004329AA">
        <w:rPr>
          <w:rFonts w:cstheme="minorHAnsi"/>
          <w:color w:val="1B1B1B"/>
          <w:sz w:val="20"/>
          <w:szCs w:val="20"/>
        </w:rPr>
        <w:t>przypadku,</w:t>
      </w:r>
      <w:r w:rsidR="004A087F" w:rsidRPr="004329AA">
        <w:rPr>
          <w:rFonts w:cstheme="minorHAnsi"/>
          <w:color w:val="1B1B1B"/>
          <w:sz w:val="20"/>
          <w:szCs w:val="20"/>
        </w:rPr>
        <w:t xml:space="preserve"> gdy choroba:</w:t>
      </w:r>
      <w:r w:rsidR="006267CC" w:rsidRPr="004329AA">
        <w:rPr>
          <w:rFonts w:cstheme="minorHAnsi"/>
          <w:color w:val="1B1B1B"/>
          <w:sz w:val="20"/>
          <w:szCs w:val="20"/>
        </w:rPr>
        <w:tab/>
      </w:r>
      <w:r w:rsidR="004A087F" w:rsidRPr="004329AA">
        <w:rPr>
          <w:rFonts w:cstheme="minorHAnsi"/>
          <w:color w:val="1B1B1B"/>
          <w:sz w:val="20"/>
          <w:szCs w:val="20"/>
        </w:rPr>
        <w:br/>
        <w:t xml:space="preserve">a) </w:t>
      </w:r>
      <w:r w:rsidR="004A087F" w:rsidRPr="00E73AA5">
        <w:rPr>
          <w:rFonts w:cstheme="minorHAnsi"/>
          <w:i/>
          <w:iCs/>
          <w:color w:val="1B1B1B"/>
          <w:sz w:val="20"/>
          <w:szCs w:val="20"/>
        </w:rPr>
        <w:t>nie pozostawała w momencie udzielania świadczeń zdrowotnych w okresie wylęgania</w:t>
      </w:r>
      <w:r w:rsidR="004A087F" w:rsidRPr="00E73AA5">
        <w:rPr>
          <w:rFonts w:cstheme="minorHAnsi"/>
          <w:i/>
          <w:iCs/>
          <w:color w:val="1B1B1B"/>
          <w:sz w:val="20"/>
          <w:szCs w:val="20"/>
        </w:rPr>
        <w:br/>
        <w:t>b) wystąpiła po udzieleniu świadczeń zdrowotnych, w okresie nie dłuższym niż najdłuższy okres jej wylęgania</w:t>
      </w:r>
      <w:r w:rsidR="00440C2D" w:rsidRPr="004329AA">
        <w:rPr>
          <w:rFonts w:cstheme="minorHAnsi"/>
          <w:color w:val="1B1B1B"/>
          <w:sz w:val="20"/>
          <w:szCs w:val="20"/>
        </w:rPr>
        <w:t>.</w:t>
      </w:r>
      <w:r w:rsidR="00440C2D" w:rsidRPr="004329AA">
        <w:rPr>
          <w:rFonts w:cstheme="minorHAnsi"/>
          <w:b/>
          <w:sz w:val="20"/>
          <w:szCs w:val="20"/>
        </w:rPr>
        <w:br/>
      </w:r>
      <w:r w:rsidR="00440C2D" w:rsidRPr="004329AA">
        <w:rPr>
          <w:rFonts w:cstheme="minorHAnsi"/>
          <w:i/>
          <w:iCs/>
          <w:sz w:val="20"/>
          <w:szCs w:val="20"/>
        </w:rPr>
        <w:t>(</w:t>
      </w:r>
      <w:r w:rsidR="00B84BB7" w:rsidRPr="004329AA">
        <w:rPr>
          <w:rFonts w:cstheme="minorHAnsi"/>
          <w:i/>
          <w:iCs/>
          <w:sz w:val="20"/>
          <w:szCs w:val="20"/>
        </w:rPr>
        <w:t>Ustawy</w:t>
      </w:r>
      <w:r w:rsidR="00AA4E90" w:rsidRPr="004329AA">
        <w:rPr>
          <w:rFonts w:cstheme="minorHAnsi"/>
          <w:i/>
          <w:iCs/>
          <w:sz w:val="20"/>
          <w:szCs w:val="20"/>
        </w:rPr>
        <w:t xml:space="preserve"> z dnia 5 grudnia 2008 r. o zapobieganiu oraz zwalczaniu zakażeń i chorób</w:t>
      </w:r>
      <w:r w:rsidR="008C72AF" w:rsidRPr="004329AA">
        <w:rPr>
          <w:rFonts w:cstheme="minorHAnsi"/>
          <w:i/>
          <w:iCs/>
          <w:sz w:val="20"/>
          <w:szCs w:val="20"/>
        </w:rPr>
        <w:t xml:space="preserve"> </w:t>
      </w:r>
      <w:r w:rsidR="00AA4E90" w:rsidRPr="004329AA">
        <w:rPr>
          <w:rFonts w:cstheme="minorHAnsi"/>
          <w:i/>
          <w:iCs/>
          <w:sz w:val="20"/>
          <w:szCs w:val="20"/>
        </w:rPr>
        <w:t>zakaźnych u ludzi (Dz. U. poz. 947)</w:t>
      </w:r>
      <w:r w:rsidR="00B51252" w:rsidRPr="004329AA">
        <w:rPr>
          <w:rFonts w:cstheme="minorHAnsi"/>
          <w:i/>
          <w:iCs/>
          <w:sz w:val="20"/>
          <w:szCs w:val="20"/>
        </w:rPr>
        <w:t xml:space="preserve"> z późniejszymi zmianami</w:t>
      </w:r>
      <w:r w:rsidR="00440C2D" w:rsidRPr="004329AA">
        <w:rPr>
          <w:rFonts w:cstheme="minorHAnsi"/>
          <w:i/>
          <w:iCs/>
          <w:sz w:val="20"/>
          <w:szCs w:val="20"/>
        </w:rPr>
        <w:t>)</w:t>
      </w:r>
      <w:r w:rsidR="00B51252" w:rsidRPr="004329AA">
        <w:rPr>
          <w:rFonts w:cstheme="minorHAnsi"/>
          <w:i/>
          <w:iCs/>
          <w:sz w:val="20"/>
          <w:szCs w:val="20"/>
        </w:rPr>
        <w:t>.</w:t>
      </w:r>
      <w:r w:rsidR="001A7FC9">
        <w:rPr>
          <w:rFonts w:cstheme="minorHAnsi"/>
          <w:i/>
          <w:iCs/>
          <w:sz w:val="20"/>
          <w:szCs w:val="20"/>
        </w:rPr>
        <w:tab/>
      </w:r>
      <w:r w:rsidR="001A7FC9">
        <w:rPr>
          <w:rFonts w:cstheme="minorHAnsi"/>
          <w:i/>
          <w:iCs/>
          <w:sz w:val="20"/>
          <w:szCs w:val="20"/>
        </w:rPr>
        <w:br/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Za</w:t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zakażenie szpitalne</w:t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uznaje się zakażenie, które powstaje i rozwija się w trakcie pobytu chorego w szpitalu (lub po jego opuszczeniu). W przypadku zakażeń wirusami HBV, HCV, HIV lub prątkiem gruźlicy czas utajenia może być nawet kilku- lub kilkunastoletni. Zakażenie, które wystąpiło przed upływem 48 godzin od momentu przyjęcia chorego do szpitala, nie spełnia formalnych kryteriów 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zakażenia szpitalnego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="00E73AA5">
        <w:rPr>
          <w:rFonts w:cstheme="minorHAnsi"/>
          <w:i/>
          <w:iCs/>
          <w:sz w:val="20"/>
          <w:szCs w:val="20"/>
        </w:rPr>
        <w:br/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W zależności od czynnika wywołującego chorobę, zakażenia dzieli się na: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zakażenia endogenne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(kiedy dochodzi do zakażenia własną florą bakteryjną) oraz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zakażenia egzogenne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(patogeny pochodzące ze środowiska zewnętrznego).</w:t>
      </w:r>
      <w:r w:rsidR="001A7FC9">
        <w:rPr>
          <w:rFonts w:cstheme="minorHAnsi"/>
          <w:i/>
          <w:iCs/>
          <w:sz w:val="20"/>
          <w:szCs w:val="20"/>
        </w:rPr>
        <w:t xml:space="preserve"> </w:t>
      </w:r>
      <w:r w:rsidR="00CF4D8E" w:rsidRPr="004329AA">
        <w:rPr>
          <w:rFonts w:eastAsia="Times New Roman" w:cstheme="minorHAnsi"/>
          <w:b/>
          <w:bCs/>
          <w:sz w:val="20"/>
          <w:szCs w:val="20"/>
          <w:lang w:eastAsia="pl-PL"/>
        </w:rPr>
        <w:t>Z</w:t>
      </w:r>
      <w:r w:rsidR="006D0434" w:rsidRPr="004329AA">
        <w:rPr>
          <w:rFonts w:eastAsia="Times New Roman" w:cstheme="minorHAnsi"/>
          <w:b/>
          <w:bCs/>
          <w:sz w:val="20"/>
          <w:szCs w:val="20"/>
          <w:lang w:eastAsia="pl-PL"/>
        </w:rPr>
        <w:t>akaże</w:t>
      </w:r>
      <w:r w:rsidR="00CF4D8E" w:rsidRPr="004329AA">
        <w:rPr>
          <w:rFonts w:eastAsia="Times New Roman" w:cstheme="minorHAnsi"/>
          <w:b/>
          <w:bCs/>
          <w:sz w:val="20"/>
          <w:szCs w:val="20"/>
          <w:lang w:eastAsia="pl-PL"/>
        </w:rPr>
        <w:t>nia</w:t>
      </w:r>
      <w:r w:rsidR="006D0434" w:rsidRPr="004329A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szpitaln</w:t>
      </w:r>
      <w:r w:rsidR="00CF4D8E" w:rsidRPr="004329AA">
        <w:rPr>
          <w:rFonts w:eastAsia="Times New Roman" w:cstheme="minorHAnsi"/>
          <w:b/>
          <w:bCs/>
          <w:sz w:val="20"/>
          <w:szCs w:val="20"/>
          <w:lang w:eastAsia="pl-PL"/>
        </w:rPr>
        <w:t>e</w:t>
      </w:r>
      <w:r w:rsidR="001A7FC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różnicuje </w:t>
      </w:r>
      <w:r w:rsidR="00CF4D8E" w:rsidRPr="004329AA">
        <w:rPr>
          <w:rFonts w:eastAsia="Times New Roman" w:cstheme="minorHAnsi"/>
          <w:sz w:val="20"/>
          <w:szCs w:val="20"/>
          <w:lang w:eastAsia="pl-PL"/>
        </w:rPr>
        <w:t>się w zależności od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 posta</w:t>
      </w:r>
      <w:r w:rsidR="00CF4D8E" w:rsidRPr="004329AA">
        <w:rPr>
          <w:rFonts w:eastAsia="Times New Roman" w:cstheme="minorHAnsi"/>
          <w:sz w:val="20"/>
          <w:szCs w:val="20"/>
          <w:lang w:eastAsia="pl-PL"/>
        </w:rPr>
        <w:t>ci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 i lokalizacj</w:t>
      </w:r>
      <w:r w:rsidR="00CF4D8E" w:rsidRPr="004329AA">
        <w:rPr>
          <w:rFonts w:eastAsia="Times New Roman" w:cstheme="minorHAnsi"/>
          <w:sz w:val="20"/>
          <w:szCs w:val="20"/>
          <w:lang w:eastAsia="pl-PL"/>
        </w:rPr>
        <w:t>i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 zakażenia, przez co wyróżnia się </w:t>
      </w:r>
      <w:r w:rsidR="006D0434" w:rsidRPr="004329AA">
        <w:rPr>
          <w:rFonts w:eastAsia="Times New Roman" w:cstheme="minorHAnsi"/>
          <w:b/>
          <w:bCs/>
          <w:sz w:val="20"/>
          <w:szCs w:val="20"/>
          <w:lang w:eastAsia="pl-PL"/>
        </w:rPr>
        <w:t>zak</w:t>
      </w:r>
      <w:r w:rsidR="00DC483A" w:rsidRPr="004329AA">
        <w:rPr>
          <w:rFonts w:eastAsia="Times New Roman" w:cstheme="minorHAnsi"/>
          <w:b/>
          <w:bCs/>
          <w:sz w:val="20"/>
          <w:szCs w:val="20"/>
          <w:lang w:eastAsia="pl-PL"/>
        </w:rPr>
        <w:t>ażenia</w:t>
      </w:r>
      <w:r w:rsidR="00E70D1C" w:rsidRPr="004329A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miejscowe</w:t>
      </w:r>
      <w:r w:rsidR="00DC483A" w:rsidRPr="004329A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="00E70D1C" w:rsidRPr="004329A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np. 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miejsca operowanego, </w:t>
      </w:r>
      <w:r w:rsidR="006D0434" w:rsidRPr="004329AA">
        <w:rPr>
          <w:rFonts w:eastAsia="Times New Roman" w:cstheme="minorHAnsi"/>
          <w:b/>
          <w:bCs/>
          <w:sz w:val="20"/>
          <w:szCs w:val="20"/>
          <w:lang w:eastAsia="pl-PL"/>
        </w:rPr>
        <w:t>układowe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 (</w:t>
      </w:r>
      <w:proofErr w:type="spellStart"/>
      <w:r w:rsidR="006D0434" w:rsidRPr="004329AA">
        <w:rPr>
          <w:rFonts w:eastAsia="Times New Roman" w:cstheme="minorHAnsi"/>
          <w:sz w:val="20"/>
          <w:szCs w:val="20"/>
          <w:lang w:eastAsia="pl-PL"/>
        </w:rPr>
        <w:t>uk</w:t>
      </w:r>
      <w:proofErr w:type="spellEnd"/>
      <w:r w:rsidR="004A06A4" w:rsidRPr="004329AA">
        <w:rPr>
          <w:rFonts w:eastAsia="Times New Roman" w:cstheme="minorHAnsi"/>
          <w:sz w:val="20"/>
          <w:szCs w:val="20"/>
          <w:lang w:eastAsia="pl-PL"/>
        </w:rPr>
        <w:t>.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 moczowego,</w:t>
      </w:r>
      <w:r w:rsidR="001A7FC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C483A" w:rsidRPr="004329AA">
        <w:rPr>
          <w:rFonts w:eastAsia="Times New Roman" w:cstheme="minorHAnsi"/>
          <w:sz w:val="20"/>
          <w:szCs w:val="20"/>
          <w:lang w:eastAsia="pl-PL"/>
        </w:rPr>
        <w:t>pokarmowego, oddechowego, narządowego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 xml:space="preserve">) i </w:t>
      </w:r>
      <w:r w:rsidR="006D0434" w:rsidRPr="004329A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uogólnione </w:t>
      </w:r>
      <w:r w:rsidR="006D0434" w:rsidRPr="004329AA">
        <w:rPr>
          <w:rFonts w:eastAsia="Times New Roman" w:cstheme="minorHAnsi"/>
          <w:sz w:val="20"/>
          <w:szCs w:val="20"/>
          <w:lang w:eastAsia="pl-PL"/>
        </w:rPr>
        <w:t>(sepsa).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Za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E70D1C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zakażenia</w:t>
      </w:r>
      <w:r w:rsidR="00117CD9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szpitalne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uznaje się również zakażenia powstałe po transfuzji krwi lub preparatów krwiopochodnych.</w:t>
      </w:r>
      <w:r w:rsidR="001A7FC9">
        <w:rPr>
          <w:rFonts w:cstheme="minorHAnsi"/>
          <w:i/>
          <w:iCs/>
          <w:sz w:val="20"/>
          <w:szCs w:val="20"/>
        </w:rPr>
        <w:t xml:space="preserve"> </w:t>
      </w:r>
      <w:r w:rsidR="00E73AA5">
        <w:rPr>
          <w:rFonts w:cstheme="minorHAnsi"/>
          <w:i/>
          <w:iCs/>
          <w:sz w:val="20"/>
          <w:szCs w:val="20"/>
        </w:rPr>
        <w:tab/>
      </w:r>
      <w:r w:rsidR="00E73AA5">
        <w:rPr>
          <w:rFonts w:cstheme="minorHAnsi"/>
          <w:i/>
          <w:iCs/>
          <w:sz w:val="20"/>
          <w:szCs w:val="20"/>
        </w:rPr>
        <w:br/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Na zakażenie szpitalne narażony jest każdy pacjent podlegający hospitalizacji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 Istnieje szereg czynników, które zwiększają ryzyk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o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a zalicza się do nich 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głównie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wszystkie stany przebiegające z upośledzeniem odporności:</w:t>
      </w:r>
      <w:r w:rsid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niedobory immunologiczne wynikające z choroby podstawowej (zakażenie wirusem HIV lub wrodzone niedobory odporności),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przyjmowanie leków immunosupresyjnych (po przeszczepieniu narządów),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wiek podeszły,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wcześniactwo,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niedożywienie, wyniszczenie,</w:t>
      </w:r>
      <w:r w:rsidR="00DC483A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rany </w:t>
      </w:r>
      <w:proofErr w:type="spellStart"/>
      <w:r w:rsidR="00DC483A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odleżynowe</w:t>
      </w:r>
      <w:proofErr w:type="spellEnd"/>
      <w:r w:rsidR="00DC483A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współistnienie chorób towarzyszących (cukrzyca,</w:t>
      </w:r>
      <w:r w:rsidR="00DC483A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przewlekła niewydolność nerek,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marskość wątroby),</w:t>
      </w:r>
      <w:r w:rsidR="001A7FC9" w:rsidRPr="001A7FC9">
        <w:rPr>
          <w:rFonts w:cstheme="minorHAnsi"/>
          <w:i/>
          <w:iCs/>
          <w:sz w:val="20"/>
          <w:szCs w:val="20"/>
        </w:rPr>
        <w:t xml:space="preserve"> </w:t>
      </w:r>
      <w:r w:rsidR="006D0434" w:rsidRPr="001A7FC9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urazy wielonarządowe.</w:t>
      </w:r>
      <w:r w:rsidR="00E73AA5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ab/>
      </w:r>
      <w:r w:rsidR="00E73AA5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br/>
      </w:r>
      <w:r w:rsidR="00E73AA5">
        <w:rPr>
          <w:rFonts w:cstheme="minorHAnsi"/>
          <w:i/>
          <w:iCs/>
          <w:sz w:val="20"/>
          <w:szCs w:val="20"/>
        </w:rPr>
        <w:br/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Ryzyko wystąpienia zakażenia szpitalnego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zwiększa się w przypadku obecności ciała obcego, jak </w:t>
      </w:r>
      <w:r w:rsidR="006267C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kaniula</w:t>
      </w:r>
      <w:r w:rsidR="00CF4D8E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dożylna,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cewnik, 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implant</w:t>
      </w:r>
      <w:r w:rsidR="00DC483A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-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stąd konieczna 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jest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ich regularna obserwacja</w:t>
      </w:r>
      <w:r w:rsidR="00CF4D8E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Źródła zakażeń szpitalnych 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mogą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stanowi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ć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inni pacjenci, personel medyczny</w:t>
      </w:r>
      <w:r w:rsidR="003F4A3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nieprawidłowo zdezynfekowany sprzęt medyczny lub przedmioty codziennego użytku (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</w:t>
      </w:r>
      <w:r w:rsidR="003F4A3B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a</w:t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krzyżow</w:t>
      </w:r>
      <w:r w:rsidR="003F4A3B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e</w:t>
      </w:r>
      <w:r w:rsidR="006D043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). 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="006D0434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Drogi szerzenia zakażeń szpitalnych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: </w:t>
      </w:r>
      <w:r w:rsidR="006D0434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droga </w:t>
      </w:r>
      <w:r w:rsidR="00117CD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kontaktow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a</w:t>
      </w:r>
      <w:r w:rsidR="006D0434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 kropelkowa,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</w:t>
      </w:r>
      <w:r w:rsidR="006D0434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pokarmowa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 powietrzno-pyłowa.</w:t>
      </w:r>
    </w:p>
    <w:p w14:paraId="0BA62D1F" w14:textId="49DEDB52" w:rsidR="006D0434" w:rsidRPr="004329AA" w:rsidRDefault="006D0434" w:rsidP="006267C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50609"/>
          <w:sz w:val="20"/>
          <w:szCs w:val="20"/>
          <w:lang w:eastAsia="pl-PL"/>
        </w:rPr>
      </w:pP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Czynniki etiologiczne zakażeń</w:t>
      </w:r>
      <w:r w:rsidR="00117CD9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:</w:t>
      </w:r>
      <w:r w:rsidR="00E70D1C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bakterie</w:t>
      </w:r>
      <w:r w:rsidR="00A365BF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 wirusy, grzyby, pasożyty</w:t>
      </w:r>
      <w:r w:rsidR="00A365BF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. 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A365BF" w:rsidRPr="004329AA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Zagrożeniem są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proofErr w:type="spellStart"/>
      <w:r w:rsidR="00E70D1C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w</w:t>
      </w: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ielolekooporn</w:t>
      </w:r>
      <w:r w:rsidR="002E0F43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e</w:t>
      </w:r>
      <w:proofErr w:type="spellEnd"/>
      <w:r w:rsidR="00E70D1C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="00A365BF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bakteri</w:t>
      </w:r>
      <w:r w:rsidR="002E0F43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e 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z wykształconym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mechanizm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em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oporności na stosowane 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antybiotyki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Eliminacja ich czy 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l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eczenie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A365BF" w:rsidRPr="004329AA">
        <w:rPr>
          <w:rFonts w:eastAsia="Times New Roman" w:cstheme="minorHAnsi"/>
          <w:color w:val="050609"/>
          <w:sz w:val="20"/>
          <w:szCs w:val="20"/>
          <w:lang w:eastAsia="pl-PL"/>
        </w:rPr>
        <w:t>może być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dług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otrwałe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i trudn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e</w:t>
      </w:r>
      <w:r w:rsidR="00A365BF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stanowi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ąc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jedno z największych wyzwań </w:t>
      </w:r>
      <w:r w:rsidR="007D3A8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obecnej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medycyny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E70D1C" w:rsidRPr="004329AA">
        <w:rPr>
          <w:rFonts w:eastAsia="Times New Roman" w:cstheme="minorHAnsi"/>
          <w:color w:val="050609"/>
          <w:sz w:val="20"/>
          <w:szCs w:val="20"/>
          <w:lang w:eastAsia="pl-PL"/>
        </w:rPr>
        <w:t>D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latego bardzo ważne jest zapobieganie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przenoszeni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u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drobnoustrojów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poprzez</w:t>
      </w:r>
      <w:r w:rsidR="002E0F43" w:rsidRPr="004329AA">
        <w:rPr>
          <w:rFonts w:eastAsia="Times New Roman" w:cstheme="minorHAnsi"/>
          <w:color w:val="050609"/>
          <w:sz w:val="20"/>
          <w:szCs w:val="20"/>
          <w:lang w:eastAsia="pl-PL"/>
        </w:rPr>
        <w:t>:</w:t>
      </w:r>
      <w:r w:rsidR="00117CD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117CD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wdrażanie i przestrzegani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e</w:t>
      </w:r>
      <w:r w:rsidR="00117CD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izolacji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czy</w:t>
      </w:r>
      <w:r w:rsidR="007240D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kohortacji</w:t>
      </w:r>
      <w:r w:rsidR="00117CD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pacjent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ów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 stosowanie sprzętu jednorazowego użytku, środków ochrony indywidualnej przez personel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, 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pacjentów, 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odwiedzających</w:t>
      </w:r>
      <w:r w:rsidR="00446F6B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,</w:t>
      </w:r>
      <w:r w:rsidR="002E0F43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</w:t>
      </w:r>
      <w:r w:rsidR="007D3A89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przestrzeganie zasad higieniczno-sanitarnych</w:t>
      </w:r>
      <w:r w:rsidR="007D3A8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</w:p>
    <w:p w14:paraId="789B963E" w14:textId="1F2C2850" w:rsidR="006D0434" w:rsidRDefault="006D0434" w:rsidP="004E6E0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50609"/>
          <w:sz w:val="20"/>
          <w:szCs w:val="20"/>
          <w:lang w:eastAsia="pl-PL"/>
        </w:rPr>
      </w:pP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Rodzaje zakażeń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7E314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i </w:t>
      </w:r>
      <w:r w:rsidR="007E3149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czynniki etiologiczne</w:t>
      </w:r>
      <w:r w:rsidR="007E314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9B2B6A" w:rsidRPr="004329AA">
        <w:rPr>
          <w:rFonts w:eastAsia="Times New Roman" w:cstheme="minorHAnsi"/>
          <w:color w:val="050609"/>
          <w:sz w:val="20"/>
          <w:szCs w:val="20"/>
          <w:lang w:eastAsia="pl-PL"/>
        </w:rPr>
        <w:t>mogą</w:t>
      </w:r>
      <w:r w:rsidR="00446F6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zależeć od specyfiki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oddziału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>,</w:t>
      </w:r>
      <w:r w:rsidR="009B2B6A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np.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7D3A89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na </w:t>
      </w:r>
      <w:r w:rsidR="00446F6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oddziale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chirurgii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najczęściej </w:t>
      </w:r>
      <w:r w:rsidR="00446F6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mogą być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wywoł</w:t>
      </w:r>
      <w:r w:rsidR="009B2B6A" w:rsidRPr="004329AA">
        <w:rPr>
          <w:rFonts w:eastAsia="Times New Roman" w:cstheme="minorHAnsi"/>
          <w:color w:val="050609"/>
          <w:sz w:val="20"/>
          <w:szCs w:val="20"/>
          <w:lang w:eastAsia="pl-PL"/>
        </w:rPr>
        <w:t>ywan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>e</w:t>
      </w:r>
      <w:r w:rsidR="009B2B6A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przez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bakterie</w:t>
      </w:r>
      <w:r w:rsidR="007D3A89" w:rsidRPr="004329AA">
        <w:rPr>
          <w:rFonts w:eastAsia="Times New Roman" w:cstheme="minorHAnsi"/>
          <w:color w:val="050609"/>
          <w:sz w:val="20"/>
          <w:szCs w:val="20"/>
          <w:lang w:eastAsia="pl-PL"/>
        </w:rPr>
        <w:t>:</w:t>
      </w:r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proofErr w:type="spellStart"/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Enterobacter</w:t>
      </w:r>
      <w:proofErr w:type="spellEnd"/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</w:t>
      </w:r>
      <w:proofErr w:type="spellStart"/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Staphylococcus</w:t>
      </w:r>
      <w:proofErr w:type="spellEnd"/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</w:t>
      </w:r>
      <w:proofErr w:type="spellStart"/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aureus</w:t>
      </w:r>
      <w:proofErr w:type="spellEnd"/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a na </w:t>
      </w:r>
      <w:r w:rsidR="00446F6B" w:rsidRPr="004329AA">
        <w:rPr>
          <w:rFonts w:eastAsia="Times New Roman" w:cstheme="minorHAnsi"/>
          <w:color w:val="050609"/>
          <w:sz w:val="20"/>
          <w:szCs w:val="20"/>
          <w:lang w:eastAsia="pl-PL"/>
        </w:rPr>
        <w:t>oddziale intensywnej terapii</w:t>
      </w:r>
      <w:r w:rsidR="004E6E0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przez bakterie</w:t>
      </w:r>
      <w:r w:rsidR="00446F6B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: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 </w:t>
      </w:r>
      <w:proofErr w:type="spellStart"/>
      <w:r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Pseudomonas</w:t>
      </w:r>
      <w:proofErr w:type="spellEnd"/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, </w:t>
      </w:r>
      <w:proofErr w:type="spellStart"/>
      <w:r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Acinetobacter</w:t>
      </w:r>
      <w:proofErr w:type="spellEnd"/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</w:t>
      </w:r>
      <w:proofErr w:type="spellStart"/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Klebsiellę</w:t>
      </w:r>
      <w:proofErr w:type="spellEnd"/>
      <w:r w:rsidR="00A365BF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 xml:space="preserve"> czy </w:t>
      </w:r>
      <w:r w:rsidR="004C06B7" w:rsidRPr="004329AA">
        <w:rPr>
          <w:rFonts w:eastAsia="Times New Roman" w:cstheme="minorHAnsi"/>
          <w:i/>
          <w:iCs/>
          <w:color w:val="050609"/>
          <w:sz w:val="20"/>
          <w:szCs w:val="20"/>
          <w:lang w:eastAsia="pl-PL"/>
        </w:rPr>
        <w:t>grzyby Candida.</w:t>
      </w:r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A365BF" w:rsidRPr="004329AA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4C06B7" w:rsidRPr="004329AA">
        <w:rPr>
          <w:rFonts w:eastAsia="Times New Roman" w:cstheme="minorHAnsi"/>
          <w:color w:val="050609"/>
          <w:sz w:val="20"/>
          <w:szCs w:val="20"/>
          <w:lang w:eastAsia="pl-PL"/>
        </w:rPr>
        <w:br/>
      </w: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Zapobieganie zakażeniom szpitalnym </w:t>
      </w:r>
      <w:r w:rsidR="007240D7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-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to zadanie dla 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całego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personel</w:t>
      </w:r>
      <w:r w:rsidR="004E6E0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u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medycznego.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Profilaktyka</w:t>
      </w:r>
      <w:r w:rsidR="004E6E0D"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obejmuje procesy 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mycia, </w:t>
      </w:r>
      <w:r w:rsidR="004E6E0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dezynfekcji,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sterylizacji</w:t>
      </w:r>
      <w:r w:rsidR="004A06A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izolacji</w:t>
      </w:r>
      <w:r w:rsidR="007240D7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pacjentów</w:t>
      </w:r>
      <w:r w:rsidR="004A06A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, aseptyk</w:t>
      </w:r>
      <w:r w:rsidR="00CF4D8E" w:rsidRPr="004329AA">
        <w:rPr>
          <w:rFonts w:eastAsia="Times New Roman" w:cstheme="minorHAnsi"/>
          <w:color w:val="050609"/>
          <w:sz w:val="20"/>
          <w:szCs w:val="20"/>
          <w:lang w:eastAsia="pl-PL"/>
        </w:rPr>
        <w:t>i</w:t>
      </w:r>
      <w:r w:rsidR="00440C2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(narzędzi, materiałów, 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sprzętu, </w:t>
      </w:r>
      <w:r w:rsidR="00440C2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otoczenia, </w:t>
      </w:r>
      <w:r w:rsidR="00450AE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dłoni personelu)</w:t>
      </w:r>
      <w:r w:rsidR="004A06A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>higieny</w:t>
      </w:r>
      <w:r w:rsidR="00450AE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pacjent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>ów,</w:t>
      </w:r>
      <w:r w:rsidR="00440C2D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4A06A4" w:rsidRPr="004329AA">
        <w:rPr>
          <w:rFonts w:eastAsia="Times New Roman" w:cstheme="minorHAnsi"/>
          <w:color w:val="050609"/>
          <w:sz w:val="20"/>
          <w:szCs w:val="20"/>
          <w:lang w:eastAsia="pl-PL"/>
        </w:rPr>
        <w:t>bielizny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6523A1" w:rsidRPr="004329AA">
        <w:rPr>
          <w:rFonts w:eastAsia="Times New Roman" w:cstheme="minorHAnsi"/>
          <w:color w:val="050609"/>
          <w:sz w:val="20"/>
          <w:szCs w:val="20"/>
          <w:lang w:eastAsia="pl-PL"/>
        </w:rPr>
        <w:t>pościel</w:t>
      </w:r>
      <w:r w:rsidR="000325FB" w:rsidRPr="004329AA">
        <w:rPr>
          <w:rFonts w:eastAsia="Times New Roman" w:cstheme="minorHAnsi"/>
          <w:color w:val="050609"/>
          <w:sz w:val="20"/>
          <w:szCs w:val="20"/>
          <w:lang w:eastAsia="pl-PL"/>
        </w:rPr>
        <w:t>owej, segregacji odpadów</w:t>
      </w:r>
      <w:r w:rsidR="006523A1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oraz</w:t>
      </w:r>
      <w:r w:rsidR="004A06A4" w:rsidRPr="004329AA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4E6E0D" w:rsidRPr="004329AA">
        <w:rPr>
          <w:rFonts w:eastAsia="Times New Roman" w:cstheme="minorHAnsi"/>
          <w:color w:val="050609"/>
          <w:sz w:val="20"/>
          <w:szCs w:val="20"/>
          <w:lang w:eastAsia="pl-PL"/>
        </w:rPr>
        <w:t>przestrzeganie</w:t>
      </w:r>
      <w:r w:rsidRPr="004329AA">
        <w:rPr>
          <w:rFonts w:eastAsia="Times New Roman" w:cstheme="minorHAnsi"/>
          <w:color w:val="050609"/>
          <w:sz w:val="20"/>
          <w:szCs w:val="20"/>
          <w:lang w:eastAsia="pl-PL"/>
        </w:rPr>
        <w:t> </w:t>
      </w:r>
      <w:r w:rsidRPr="004329AA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procedur szpitalnych</w:t>
      </w:r>
      <w:r w:rsidR="004E6E0D" w:rsidRPr="004329AA">
        <w:rPr>
          <w:rFonts w:eastAsia="Times New Roman" w:cstheme="minorHAnsi"/>
          <w:color w:val="050609"/>
          <w:sz w:val="20"/>
          <w:szCs w:val="20"/>
          <w:lang w:eastAsia="pl-PL"/>
        </w:rPr>
        <w:t>.</w:t>
      </w:r>
    </w:p>
    <w:p w14:paraId="3E7349A0" w14:textId="593518E8" w:rsidR="00B938DE" w:rsidRPr="00B938DE" w:rsidRDefault="00B938DE" w:rsidP="00B938D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</w:pP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POSTĘPOWANI</w:t>
      </w:r>
      <w:r w:rsidR="00A35838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E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PO EKSPOZYCJI</w:t>
      </w:r>
    </w:p>
    <w:p w14:paraId="41C40D56" w14:textId="2D7EDBED" w:rsidR="00B938DE" w:rsidRPr="00B938DE" w:rsidRDefault="00B938DE" w:rsidP="00B938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</w:pPr>
      <w:bookmarkStart w:id="0" w:name="_Toc432158924"/>
      <w:bookmarkStart w:id="1" w:name="_Toc432159056"/>
      <w:bookmarkStart w:id="2" w:name="_Toc432159128"/>
      <w:bookmarkStart w:id="3" w:name="_Toc432159182"/>
      <w:bookmarkStart w:id="4" w:name="_Toc432159196"/>
      <w:bookmarkStart w:id="5" w:name="_Toc432159210"/>
      <w:bookmarkStart w:id="6" w:name="_Toc432158925"/>
      <w:bookmarkStart w:id="7" w:name="_Toc432159057"/>
      <w:bookmarkStart w:id="8" w:name="_Toc432159129"/>
      <w:bookmarkStart w:id="9" w:name="_Toc432159183"/>
      <w:bookmarkStart w:id="10" w:name="_Toc432159197"/>
      <w:bookmarkStart w:id="11" w:name="_Toc432159211"/>
      <w:bookmarkStart w:id="12" w:name="_Toc432158926"/>
      <w:bookmarkStart w:id="13" w:name="_Toc432159058"/>
      <w:bookmarkStart w:id="14" w:name="_Toc432159130"/>
      <w:bookmarkStart w:id="15" w:name="_Toc432159184"/>
      <w:bookmarkStart w:id="16" w:name="_Toc432159198"/>
      <w:bookmarkStart w:id="17" w:name="_Toc432159212"/>
      <w:bookmarkStart w:id="18" w:name="_Toc432158927"/>
      <w:bookmarkStart w:id="19" w:name="_Toc432159059"/>
      <w:bookmarkStart w:id="20" w:name="_Toc432159131"/>
      <w:bookmarkStart w:id="21" w:name="_Toc432159185"/>
      <w:bookmarkStart w:id="22" w:name="_Toc432159199"/>
      <w:bookmarkStart w:id="23" w:name="_Toc43215921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Zakażenia krwiopochodne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br/>
        <w:t>- to takie, w których czynnik zakaźny z krwi jednej osoby może zostać przeniesiony na inną osobę i wywołać zakażenie przy założeniu, że każdy pacjent stanowi potencjalne źródło zakażenia HIV, HBV, HCV i innymi patogenami szerzącymi się poprzez krew. Kontakt pracownika z materiałem biologicznym powinien być rozpatrywany w kontekście zagrożenia tymi skażeniami.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Inny potencjalnie infekcyjny materiał (IPIM)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  <w:t xml:space="preserve"> 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lastRenderedPageBreak/>
        <w:t xml:space="preserve">- to płyny ustrojowe, nasienie, wydzielina z pochwy, płyn mózgowo-rdzeniowy, płyn opłucnowy, maź stawowa, płyn osierdziowy, płyn otrzewnowy, płyn owodniowy, </w:t>
      </w:r>
      <w:r w:rsidR="00C06094" w:rsidRPr="00B938DE">
        <w:rPr>
          <w:rFonts w:eastAsia="Times New Roman" w:cstheme="minorHAnsi"/>
          <w:color w:val="050609"/>
          <w:sz w:val="20"/>
          <w:szCs w:val="20"/>
          <w:lang w:eastAsia="pl-PL"/>
        </w:rPr>
        <w:t>jakikolwiek płyn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skażony krwią, tkanka, hodowle tkankowe, pożywki skażone zawierające w tym HIV, HBV, HCV.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Osoba eksponowana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  <w:t xml:space="preserve"> 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-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to osoba narażona na zakażenie w wyniku kontaktu z krwią lub IPIM. 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Ekspozycja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- to kontakt z krwią lub IPIM przez skórę, oko, jamę ustną, błonę śluzową.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Ekspozycja zawodowa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  <w:t xml:space="preserve"> 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–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ekspozycja, do której doszło w czasie wykonywania przez pracownika jego obowiązków zawodowych (zakłucie, zachlapanie, skaleczenie).</w:t>
      </w:r>
      <w:r w:rsidR="001A7FC9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Pacjent będący źródłem ekspozycji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  <w:t xml:space="preserve"> 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- to ten, którego krew lub IPIM może być dla pracownika źródłem zakażenia w przypadku ekspozycji zawodowej.</w:t>
      </w:r>
    </w:p>
    <w:p w14:paraId="47EBD6E6" w14:textId="74CBC0CE" w:rsidR="00B938DE" w:rsidRPr="00B938DE" w:rsidRDefault="00B938DE" w:rsidP="00B938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</w:pPr>
      <w:r w:rsidRPr="00B938DE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t>Postępowanie po ekspozycji</w:t>
      </w:r>
      <w:r w:rsidR="001A7FC9" w:rsidRP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</w:r>
      <w:r w:rsidR="001A7FC9" w:rsidRPr="001A7FC9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1)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Skóra nieuszkodzona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  <w:t xml:space="preserve"> –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usunąć krew lub IPIM gazikiem, miejsce umyć ciepłą wodą </w:t>
      </w:r>
      <w:r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z mydłem w płynie, osuszyć, odkazić antyseptykiem.</w:t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2)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Skóra uszkodzona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  <w:t xml:space="preserve"> -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zranione miejsce i okolicę umyć: wodą z mydłem w płynie, spłukać ciepłą wodą (unikając rozpryskiwania). Nie tamować upływu krwi, osuszyć, odkazić antyseptykiem do skóry bez zawartości alkoholu. Skaleczenie zabezpieczyć opatrunkiem wodoszczelnym.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1A7FC9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3)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Oczy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  <w:t xml:space="preserve"> -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wypłukać delikatnie i dokładnie letnią wodą przy otwartych powiekach (może być jałowa woda do iniekcji).</w:t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4)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Jama ustna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br/>
        <w:t xml:space="preserve"> -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wypluć krew lub IPIM, kilkukrotnie przepłukać jamę ustną letnią wodą.</w:t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5)</w:t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 xml:space="preserve"> Dokonać zgłoszenia i rejestracji ekspozycji </w:t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br/>
        <w:t xml:space="preserve">- </w:t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poprzez zgłoszenie się do SOR-</w:t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w celu wypełnienia karty zakłuć (załącznik 1 do ZK 1.</w:t>
      </w:r>
      <w:r>
        <w:rPr>
          <w:rFonts w:eastAsia="Times New Roman" w:cstheme="minorHAnsi"/>
          <w:color w:val="050609"/>
          <w:sz w:val="20"/>
          <w:szCs w:val="20"/>
          <w:lang w:eastAsia="pl-PL"/>
        </w:rPr>
        <w:t>5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50609"/>
          <w:sz w:val="20"/>
          <w:szCs w:val="20"/>
          <w:lang w:eastAsia="pl-PL"/>
        </w:rPr>
        <w:t>/2025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„Karta ekspozycji zawodowej na krew lub IPIM”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ab/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</w:t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6)</w:t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Lekarz dyżurny SOR przeprowadza wywiad epidemiologiczny i podejmuje decyzję o dalszym postępowaniu. </w:t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u w:val="single"/>
          <w:lang w:eastAsia="pl-PL"/>
        </w:rPr>
        <w:br/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7)</w:t>
      </w: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bCs/>
          <w:color w:val="050609"/>
          <w:sz w:val="20"/>
          <w:szCs w:val="20"/>
          <w:lang w:eastAsia="pl-PL"/>
        </w:rPr>
        <w:t>W przypadku stwierdzonej ekspozycji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 lekarz dyżurny SOR kieruje osobę eksponowaną </w:t>
      </w:r>
      <w:r>
        <w:rPr>
          <w:rFonts w:eastAsia="Times New Roman" w:cstheme="minorHAnsi"/>
          <w:color w:val="050609"/>
          <w:sz w:val="20"/>
          <w:szCs w:val="20"/>
          <w:lang w:eastAsia="pl-PL"/>
        </w:rPr>
        <w:t xml:space="preserve">do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Pomorski</w:t>
      </w:r>
      <w:r>
        <w:rPr>
          <w:rFonts w:eastAsia="Times New Roman" w:cstheme="minorHAnsi"/>
          <w:color w:val="050609"/>
          <w:sz w:val="20"/>
          <w:szCs w:val="20"/>
          <w:lang w:eastAsia="pl-PL"/>
        </w:rPr>
        <w:t>ego Centrum chorób zakaźnych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B938DE" w:rsidRPr="00B938DE" w14:paraId="6C7C5706" w14:textId="77777777" w:rsidTr="001A7FC9">
        <w:trPr>
          <w:trHeight w:val="5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20A1" w14:textId="77777777" w:rsidR="00B938DE" w:rsidRPr="00B938DE" w:rsidRDefault="00B938DE" w:rsidP="00B93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</w:pP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t>9:00-14:00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br/>
              <w:t>w dni powszednie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899E" w14:textId="77777777" w:rsidR="00B938DE" w:rsidRPr="00B938DE" w:rsidRDefault="00B938DE" w:rsidP="00B93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</w:pP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t xml:space="preserve">14:00-9:00 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br/>
              <w:t>w dni powszednie oraz soboty, niedziele i święta</w:t>
            </w:r>
          </w:p>
        </w:tc>
      </w:tr>
      <w:tr w:rsidR="00B938DE" w:rsidRPr="00B938DE" w14:paraId="1D643DCF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7F35" w14:textId="77777777" w:rsidR="00B938DE" w:rsidRPr="00B938DE" w:rsidRDefault="00B938DE" w:rsidP="00B93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</w:pP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t>Poradnia profilaktyczno-lecznicza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t xml:space="preserve"> (HIV/AIDS)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br/>
              <w:t>Tel 058-341-40-41 wew. 330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br/>
            </w: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t>Pomorskie Centrum Chorób Zakaźnych i Gruźlicy w Gdańsku ul. Smoluchowskiego 18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022C" w14:textId="77777777" w:rsidR="00B938DE" w:rsidRPr="00B938DE" w:rsidRDefault="00B938DE" w:rsidP="00B938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</w:pP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t xml:space="preserve">Izba Przyjęć </w:t>
            </w: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br/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t>Tel. 058-726-01-10</w:t>
            </w:r>
            <w:r w:rsidRPr="00B938DE">
              <w:rPr>
                <w:rFonts w:eastAsia="Times New Roman" w:cstheme="minorHAnsi"/>
                <w:bCs/>
                <w:color w:val="050609"/>
                <w:sz w:val="20"/>
                <w:szCs w:val="20"/>
                <w:lang w:eastAsia="pl-PL"/>
              </w:rPr>
              <w:br/>
            </w: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t xml:space="preserve">Szpital Morski im. PCK w Gdyni </w:t>
            </w:r>
            <w:r w:rsidRPr="00B938DE"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  <w:br/>
              <w:t>ul. Powstania Styczniowego 1.</w:t>
            </w:r>
          </w:p>
        </w:tc>
      </w:tr>
      <w:tr w:rsidR="00B938DE" w:rsidRPr="00B938DE" w14:paraId="1146024E" w14:textId="7777777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F04A" w14:textId="77777777" w:rsidR="00B938DE" w:rsidRPr="00B938DE" w:rsidRDefault="00B938DE" w:rsidP="00B938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color w:val="050609"/>
                <w:sz w:val="20"/>
                <w:szCs w:val="20"/>
                <w:lang w:eastAsia="pl-PL"/>
              </w:rPr>
            </w:pPr>
            <w:r w:rsidRPr="00B938DE">
              <w:rPr>
                <w:rFonts w:eastAsia="Times New Roman" w:cstheme="minorHAnsi"/>
                <w:b/>
                <w:bCs/>
                <w:color w:val="050609"/>
                <w:sz w:val="20"/>
                <w:szCs w:val="20"/>
                <w:lang w:eastAsia="pl-PL"/>
              </w:rPr>
              <w:t>po uprzednim telefonicznym zgłoszeniu ekspozycji</w:t>
            </w:r>
          </w:p>
        </w:tc>
      </w:tr>
    </w:tbl>
    <w:p w14:paraId="7874871F" w14:textId="4F80B33D" w:rsidR="00B938DE" w:rsidRPr="00E73AA5" w:rsidRDefault="00B938DE" w:rsidP="004E6E0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50609"/>
          <w:sz w:val="20"/>
          <w:szCs w:val="20"/>
          <w:lang w:eastAsia="pl-PL"/>
        </w:rPr>
      </w:pPr>
      <w:r w:rsidRPr="00B938DE">
        <w:rPr>
          <w:rFonts w:eastAsia="Times New Roman" w:cstheme="minorHAnsi"/>
          <w:b/>
          <w:color w:val="050609"/>
          <w:sz w:val="20"/>
          <w:szCs w:val="20"/>
          <w:lang w:eastAsia="pl-PL"/>
        </w:rPr>
        <w:t>O</w:t>
      </w:r>
      <w:r w:rsidRPr="00B938DE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>soba eksponowana</w:t>
      </w:r>
      <w:r w:rsidR="00E73AA5">
        <w:rPr>
          <w:rFonts w:eastAsia="Times New Roman" w:cstheme="minorHAnsi"/>
          <w:b/>
          <w:bCs/>
          <w:color w:val="050609"/>
          <w:sz w:val="20"/>
          <w:szCs w:val="20"/>
          <w:lang w:eastAsia="pl-PL"/>
        </w:rPr>
        <w:t xml:space="preserve"> odpowiedzialna za -</w:t>
      </w:r>
      <w:r w:rsidR="00E73AA5">
        <w:rPr>
          <w:rFonts w:eastAsia="Times New Roman" w:cstheme="minorHAnsi"/>
          <w:b/>
          <w:color w:val="050609"/>
          <w:sz w:val="20"/>
          <w:szCs w:val="20"/>
          <w:lang w:eastAsia="pl-PL"/>
        </w:rPr>
        <w:t xml:space="preserve"> </w:t>
      </w:r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zgłoszenie faktu ekspozycji, wypełnienie karty </w:t>
      </w:r>
      <w:proofErr w:type="spellStart"/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>poekspozycyjnej</w:t>
      </w:r>
      <w:proofErr w:type="spellEnd"/>
      <w:r w:rsidRPr="00B938DE">
        <w:rPr>
          <w:rFonts w:eastAsia="Times New Roman" w:cstheme="minorHAnsi"/>
          <w:color w:val="050609"/>
          <w:sz w:val="20"/>
          <w:szCs w:val="20"/>
          <w:lang w:eastAsia="pl-PL"/>
        </w:rPr>
        <w:t xml:space="preserve">, udanie się na konsultację do Pomorskie Centrum Chorób Zakaźnych Gdańsk/ powiadomienie </w:t>
      </w:r>
      <w:r w:rsidR="00E73AA5">
        <w:rPr>
          <w:rFonts w:eastAsia="Times New Roman" w:cstheme="minorHAnsi"/>
          <w:color w:val="050609"/>
          <w:sz w:val="20"/>
          <w:szCs w:val="20"/>
          <w:lang w:eastAsia="pl-PL"/>
        </w:rPr>
        <w:t>opiekuna praktyki.</w:t>
      </w:r>
    </w:p>
    <w:p w14:paraId="408B52F4" w14:textId="1CBC5800" w:rsidR="00440C2D" w:rsidRPr="004329AA" w:rsidRDefault="000325FB" w:rsidP="00440C2D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4329AA">
        <w:rPr>
          <w:rFonts w:cstheme="minorHAnsi"/>
          <w:b/>
          <w:bCs/>
          <w:sz w:val="20"/>
          <w:szCs w:val="20"/>
        </w:rPr>
        <w:t>P</w:t>
      </w:r>
      <w:r w:rsidR="00450AE4" w:rsidRPr="004329AA">
        <w:rPr>
          <w:rFonts w:cstheme="minorHAnsi"/>
          <w:b/>
          <w:bCs/>
          <w:sz w:val="20"/>
          <w:szCs w:val="20"/>
        </w:rPr>
        <w:t>rocedury</w:t>
      </w:r>
      <w:r w:rsidRPr="004329AA">
        <w:rPr>
          <w:rFonts w:cstheme="minorHAnsi"/>
          <w:b/>
          <w:bCs/>
          <w:sz w:val="20"/>
          <w:szCs w:val="20"/>
        </w:rPr>
        <w:t xml:space="preserve"> szpitalne</w:t>
      </w:r>
      <w:r w:rsidR="009B48AB" w:rsidRPr="004329AA">
        <w:rPr>
          <w:rFonts w:cstheme="minorHAnsi"/>
          <w:b/>
          <w:bCs/>
          <w:sz w:val="20"/>
          <w:szCs w:val="20"/>
        </w:rPr>
        <w:t xml:space="preserve"> do zapoznania w miejscu</w:t>
      </w:r>
      <w:r w:rsidR="00450AE4" w:rsidRPr="004329AA">
        <w:rPr>
          <w:rFonts w:cstheme="minorHAnsi"/>
          <w:b/>
          <w:bCs/>
          <w:sz w:val="20"/>
          <w:szCs w:val="20"/>
        </w:rPr>
        <w:t>:</w:t>
      </w:r>
    </w:p>
    <w:p w14:paraId="3BFA40EB" w14:textId="77777777" w:rsidR="00440C2D" w:rsidRPr="004329AA" w:rsidRDefault="00440C2D" w:rsidP="00440C2D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b/>
          <w:i/>
          <w:sz w:val="20"/>
          <w:szCs w:val="20"/>
        </w:rPr>
      </w:pPr>
      <w:r w:rsidRPr="004329AA">
        <w:rPr>
          <w:rFonts w:cstheme="minorHAnsi"/>
          <w:b/>
          <w:sz w:val="20"/>
          <w:szCs w:val="20"/>
        </w:rPr>
        <w:t xml:space="preserve">Zasady mycia i dezynfekcji rąk: </w:t>
      </w:r>
      <w:r w:rsidRPr="004329AA">
        <w:rPr>
          <w:rFonts w:cstheme="minorHAnsi"/>
          <w:i/>
          <w:sz w:val="20"/>
          <w:szCs w:val="20"/>
        </w:rPr>
        <w:t>mycie socjalne, higieniczne i chirurgiczne oraz technika mycia i dezynfekcji rąk. (KZ 1.2 Higiena rąk)</w:t>
      </w:r>
    </w:p>
    <w:p w14:paraId="3022C278" w14:textId="0D6F42F1" w:rsidR="00440C2D" w:rsidRPr="004329AA" w:rsidRDefault="00440C2D" w:rsidP="009B48AB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i/>
          <w:sz w:val="20"/>
          <w:szCs w:val="20"/>
        </w:rPr>
      </w:pPr>
      <w:r w:rsidRPr="004329AA">
        <w:rPr>
          <w:rFonts w:cstheme="minorHAnsi"/>
          <w:b/>
          <w:sz w:val="20"/>
          <w:szCs w:val="20"/>
        </w:rPr>
        <w:t xml:space="preserve">Zasady postępowania z odpadami medycznymi: </w:t>
      </w:r>
      <w:r w:rsidRPr="004329AA">
        <w:rPr>
          <w:rFonts w:cstheme="minorHAnsi"/>
          <w:i/>
          <w:sz w:val="20"/>
          <w:szCs w:val="20"/>
        </w:rPr>
        <w:t>zasady segregacji odpadów medycznych, postępowanie z materiałem zakaźnym, kody odpadów. (JZ 15. Odpady szpitalne)</w:t>
      </w:r>
      <w:r w:rsidR="00E73AA5">
        <w:rPr>
          <w:rFonts w:cstheme="minorHAnsi"/>
          <w:i/>
          <w:sz w:val="20"/>
          <w:szCs w:val="20"/>
        </w:rPr>
        <w:t>.</w:t>
      </w:r>
    </w:p>
    <w:p w14:paraId="30059CE9" w14:textId="77777777" w:rsidR="009B48AB" w:rsidRPr="004329AA" w:rsidRDefault="009B48AB" w:rsidP="009B48AB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4DE0A485" w14:textId="760566C5" w:rsidR="004329AA" w:rsidRPr="004329AA" w:rsidRDefault="004329AA" w:rsidP="004329AA">
      <w:pPr>
        <w:spacing w:line="360" w:lineRule="auto"/>
        <w:jc w:val="both"/>
        <w:rPr>
          <w:rFonts w:cstheme="minorHAnsi"/>
          <w:sz w:val="20"/>
          <w:szCs w:val="20"/>
        </w:rPr>
      </w:pPr>
      <w:r w:rsidRPr="004329AA">
        <w:rPr>
          <w:rFonts w:cstheme="minorHAnsi"/>
          <w:sz w:val="20"/>
          <w:szCs w:val="20"/>
        </w:rPr>
        <w:t xml:space="preserve">Kwidzyn, dnia </w:t>
      </w:r>
      <w:r w:rsidR="00A42E18">
        <w:rPr>
          <w:rFonts w:cstheme="minorHAnsi"/>
          <w:sz w:val="20"/>
          <w:szCs w:val="20"/>
        </w:rPr>
        <w:t>08</w:t>
      </w:r>
      <w:r w:rsidRPr="004329AA">
        <w:rPr>
          <w:rFonts w:cstheme="minorHAnsi"/>
          <w:sz w:val="20"/>
          <w:szCs w:val="20"/>
        </w:rPr>
        <w:t>.</w:t>
      </w:r>
      <w:r w:rsidR="00A42E18">
        <w:rPr>
          <w:rFonts w:cstheme="minorHAnsi"/>
          <w:sz w:val="20"/>
          <w:szCs w:val="20"/>
        </w:rPr>
        <w:t>10</w:t>
      </w:r>
      <w:r w:rsidR="007E6EF6">
        <w:rPr>
          <w:rFonts w:cstheme="minorHAnsi"/>
          <w:sz w:val="20"/>
          <w:szCs w:val="20"/>
        </w:rPr>
        <w:t>.</w:t>
      </w:r>
      <w:r w:rsidRPr="004329AA">
        <w:rPr>
          <w:rFonts w:cstheme="minorHAnsi"/>
          <w:sz w:val="20"/>
          <w:szCs w:val="20"/>
        </w:rPr>
        <w:t xml:space="preserve">2025 r. </w:t>
      </w:r>
    </w:p>
    <w:p w14:paraId="693AED07" w14:textId="73B6B0AF" w:rsidR="009B48AB" w:rsidRPr="00E73AA5" w:rsidRDefault="009B48AB" w:rsidP="00E73AA5">
      <w:pPr>
        <w:spacing w:line="360" w:lineRule="auto"/>
        <w:ind w:left="5664"/>
        <w:jc w:val="both"/>
        <w:rPr>
          <w:rFonts w:cstheme="minorHAnsi"/>
          <w:sz w:val="20"/>
          <w:szCs w:val="20"/>
        </w:rPr>
      </w:pPr>
      <w:r w:rsidRPr="004329AA">
        <w:rPr>
          <w:rFonts w:cstheme="minorHAnsi"/>
          <w:sz w:val="20"/>
          <w:szCs w:val="20"/>
        </w:rPr>
        <w:t>…………………………………………………………</w:t>
      </w:r>
      <w:r w:rsidRPr="004329AA">
        <w:rPr>
          <w:rFonts w:cstheme="minorHAnsi"/>
          <w:sz w:val="20"/>
          <w:szCs w:val="20"/>
        </w:rPr>
        <w:br/>
      </w:r>
      <w:r w:rsidR="00E73AA5">
        <w:rPr>
          <w:rFonts w:cstheme="minorHAnsi"/>
          <w:sz w:val="20"/>
          <w:szCs w:val="20"/>
        </w:rPr>
        <w:t xml:space="preserve"> </w:t>
      </w:r>
      <w:r w:rsidR="00E73AA5">
        <w:rPr>
          <w:rFonts w:cstheme="minorHAnsi"/>
          <w:sz w:val="20"/>
          <w:szCs w:val="20"/>
        </w:rPr>
        <w:tab/>
      </w:r>
      <w:r w:rsidR="004329AA" w:rsidRPr="004329AA">
        <w:rPr>
          <w:rFonts w:cstheme="minorHAnsi"/>
          <w:sz w:val="20"/>
          <w:szCs w:val="20"/>
        </w:rPr>
        <w:t>P</w:t>
      </w:r>
      <w:r w:rsidRPr="004329AA">
        <w:rPr>
          <w:rFonts w:cstheme="minorHAnsi"/>
          <w:sz w:val="20"/>
          <w:szCs w:val="20"/>
        </w:rPr>
        <w:t>odpis studenta</w:t>
      </w:r>
    </w:p>
    <w:sectPr w:rsidR="009B48AB" w:rsidRPr="00E73AA5" w:rsidSect="00E73AA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3CC5"/>
    <w:multiLevelType w:val="multilevel"/>
    <w:tmpl w:val="39A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2CCE"/>
    <w:multiLevelType w:val="hybridMultilevel"/>
    <w:tmpl w:val="E86E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678C"/>
    <w:multiLevelType w:val="multilevel"/>
    <w:tmpl w:val="799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A5B19"/>
    <w:multiLevelType w:val="multilevel"/>
    <w:tmpl w:val="287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D10730"/>
    <w:multiLevelType w:val="hybridMultilevel"/>
    <w:tmpl w:val="E86E4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74CE6"/>
    <w:multiLevelType w:val="multilevel"/>
    <w:tmpl w:val="C73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476BB"/>
    <w:multiLevelType w:val="multilevel"/>
    <w:tmpl w:val="6CA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267000">
    <w:abstractNumId w:val="1"/>
  </w:num>
  <w:num w:numId="2" w16cid:durableId="252714128">
    <w:abstractNumId w:val="3"/>
  </w:num>
  <w:num w:numId="3" w16cid:durableId="1404599540">
    <w:abstractNumId w:val="2"/>
  </w:num>
  <w:num w:numId="4" w16cid:durableId="498693161">
    <w:abstractNumId w:val="5"/>
  </w:num>
  <w:num w:numId="5" w16cid:durableId="1393431212">
    <w:abstractNumId w:val="6"/>
  </w:num>
  <w:num w:numId="6" w16cid:durableId="933173359">
    <w:abstractNumId w:val="0"/>
  </w:num>
  <w:num w:numId="7" w16cid:durableId="209644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94"/>
    <w:rsid w:val="000325FB"/>
    <w:rsid w:val="00117CD9"/>
    <w:rsid w:val="001A47CC"/>
    <w:rsid w:val="001A6A14"/>
    <w:rsid w:val="001A7FC9"/>
    <w:rsid w:val="00226D94"/>
    <w:rsid w:val="00236C8B"/>
    <w:rsid w:val="002E0F43"/>
    <w:rsid w:val="003625BA"/>
    <w:rsid w:val="003D3BE3"/>
    <w:rsid w:val="003F4A3B"/>
    <w:rsid w:val="004329AA"/>
    <w:rsid w:val="00440C2D"/>
    <w:rsid w:val="00446F6B"/>
    <w:rsid w:val="00450AE4"/>
    <w:rsid w:val="00452D9F"/>
    <w:rsid w:val="0046704A"/>
    <w:rsid w:val="004A06A4"/>
    <w:rsid w:val="004A087F"/>
    <w:rsid w:val="004C06B7"/>
    <w:rsid w:val="004C398C"/>
    <w:rsid w:val="004C7083"/>
    <w:rsid w:val="004E6E0D"/>
    <w:rsid w:val="00511772"/>
    <w:rsid w:val="00591FE1"/>
    <w:rsid w:val="005F11AA"/>
    <w:rsid w:val="00605B6D"/>
    <w:rsid w:val="006267CC"/>
    <w:rsid w:val="006523A1"/>
    <w:rsid w:val="006A72A6"/>
    <w:rsid w:val="006D0434"/>
    <w:rsid w:val="007240D7"/>
    <w:rsid w:val="007D3A89"/>
    <w:rsid w:val="007E3149"/>
    <w:rsid w:val="007E6EF6"/>
    <w:rsid w:val="00853A55"/>
    <w:rsid w:val="008C72AF"/>
    <w:rsid w:val="00996347"/>
    <w:rsid w:val="009B2B6A"/>
    <w:rsid w:val="009B48AB"/>
    <w:rsid w:val="00A35838"/>
    <w:rsid w:val="00A365BF"/>
    <w:rsid w:val="00A42E18"/>
    <w:rsid w:val="00A518E4"/>
    <w:rsid w:val="00A75070"/>
    <w:rsid w:val="00AA4E90"/>
    <w:rsid w:val="00B05DA4"/>
    <w:rsid w:val="00B51252"/>
    <w:rsid w:val="00B57CE7"/>
    <w:rsid w:val="00B84BB7"/>
    <w:rsid w:val="00B938DE"/>
    <w:rsid w:val="00BF612E"/>
    <w:rsid w:val="00C06094"/>
    <w:rsid w:val="00C83A7D"/>
    <w:rsid w:val="00CA7966"/>
    <w:rsid w:val="00CB6715"/>
    <w:rsid w:val="00CF414E"/>
    <w:rsid w:val="00CF4D8E"/>
    <w:rsid w:val="00DC483A"/>
    <w:rsid w:val="00DD275F"/>
    <w:rsid w:val="00E70D1C"/>
    <w:rsid w:val="00E73AA5"/>
    <w:rsid w:val="00F063C9"/>
    <w:rsid w:val="00F7617F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996"/>
  <w15:docId w15:val="{0E869E7F-8C54-4DDE-8479-303006B7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FE1"/>
  </w:style>
  <w:style w:type="paragraph" w:styleId="Nagwek1">
    <w:name w:val="heading 1"/>
    <w:basedOn w:val="Normalny"/>
    <w:next w:val="Normalny"/>
    <w:link w:val="Nagwek1Znak"/>
    <w:uiPriority w:val="9"/>
    <w:qFormat/>
    <w:rsid w:val="00B93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D0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E90"/>
    <w:pPr>
      <w:ind w:left="720"/>
      <w:contextualSpacing/>
    </w:pPr>
  </w:style>
  <w:style w:type="paragraph" w:styleId="Bezodstpw">
    <w:name w:val="No Spacing"/>
    <w:uiPriority w:val="1"/>
    <w:qFormat/>
    <w:rsid w:val="00B5125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04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D043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D043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D043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938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B9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61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none" w:sz="0" w:space="0" w:color="auto"/>
                        <w:right w:val="single" w:sz="24" w:space="0" w:color="auto"/>
                      </w:divBdr>
                      <w:divsChild>
                        <w:div w:id="55354149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9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3977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720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none" w:sz="0" w:space="0" w:color="auto"/>
                        <w:right w:val="single" w:sz="24" w:space="0" w:color="auto"/>
                      </w:divBdr>
                      <w:divsChild>
                        <w:div w:id="508328379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7414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65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none" w:sz="0" w:space="0" w:color="auto"/>
                        <w:right w:val="single" w:sz="24" w:space="0" w:color="auto"/>
                      </w:divBdr>
                      <w:divsChild>
                        <w:div w:id="48490170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878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24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none" w:sz="0" w:space="0" w:color="auto"/>
                        <w:right w:val="single" w:sz="24" w:space="0" w:color="auto"/>
                      </w:divBdr>
                      <w:divsChild>
                        <w:div w:id="213097550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0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Paulina Matysiak</cp:lastModifiedBy>
  <cp:revision>3</cp:revision>
  <cp:lastPrinted>2025-10-08T12:14:00Z</cp:lastPrinted>
  <dcterms:created xsi:type="dcterms:W3CDTF">2025-10-09T12:27:00Z</dcterms:created>
  <dcterms:modified xsi:type="dcterms:W3CDTF">2025-10-10T05:59:00Z</dcterms:modified>
</cp:coreProperties>
</file>